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A2" w:rsidRDefault="004333A2" w:rsidP="004333A2">
      <w:pPr>
        <w:spacing w:before="200"/>
        <w:jc w:val="both"/>
        <w:rPr>
          <w:b/>
        </w:rPr>
      </w:pPr>
      <w:r>
        <w:rPr>
          <w:b/>
        </w:rPr>
        <w:t xml:space="preserve">2.1.1 Budowa lub przebudowa ogólnodostępnej i niekomercyjnej infrastruktury turystycznej lub rekreacyjnej </w:t>
      </w:r>
    </w:p>
    <w:p w:rsidR="004333A2" w:rsidRDefault="004333A2" w:rsidP="004333A2">
      <w:pPr>
        <w:spacing w:before="60" w:after="60"/>
        <w:rPr>
          <w:b/>
        </w:rPr>
      </w:pPr>
      <w:r>
        <w:rPr>
          <w:b/>
        </w:rPr>
        <w:t>Kryterium dostępu</w:t>
      </w:r>
    </w:p>
    <w:p w:rsidR="004333A2" w:rsidRDefault="004333A2" w:rsidP="004333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Projekt jest zgodny z LSR </w:t>
      </w:r>
    </w:p>
    <w:p w:rsidR="004333A2" w:rsidRDefault="004333A2" w:rsidP="004333A2">
      <w:pPr>
        <w:pStyle w:val="Akapitzlis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Tak</w:t>
      </w:r>
    </w:p>
    <w:p w:rsidR="004333A2" w:rsidRDefault="004333A2" w:rsidP="004333A2">
      <w:pPr>
        <w:pStyle w:val="Akapitzlis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</w:t>
      </w:r>
    </w:p>
    <w:p w:rsidR="004333A2" w:rsidRDefault="004333A2" w:rsidP="004333A2">
      <w:pPr>
        <w:rPr>
          <w:b/>
        </w:rPr>
      </w:pPr>
      <w:r>
        <w:rPr>
          <w:b/>
        </w:rPr>
        <w:t>Kryteria wyboru</w:t>
      </w:r>
    </w:p>
    <w:p w:rsidR="004333A2" w:rsidRDefault="004333A2" w:rsidP="004333A2">
      <w:pPr>
        <w:pStyle w:val="Akapitzlist"/>
        <w:numPr>
          <w:ilvl w:val="0"/>
          <w:numId w:val="2"/>
        </w:numPr>
        <w:spacing w:after="0" w:line="25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Innowacyjny charakter przedsięwzięcia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we wniosku znajduje się opis innowacyjności z zastosowaniem 3 metod partycypacyjnych – 6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we wniosku znajduje się opis innowacyjności z zastosowaniem 2 metod partycypacyjnych – 4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we wniosku znajduje się opis innowacyjności z zastosowaniem 1 metody partycypacyjnej – 2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brak opisu innowacyjnego charakteru przedsięwzięcia lub opis nie jest wyczerpujący – 0 pkt. </w:t>
      </w:r>
    </w:p>
    <w:p w:rsidR="004333A2" w:rsidRDefault="004333A2" w:rsidP="004333A2">
      <w:pPr>
        <w:pStyle w:val="Akapitzlist"/>
        <w:numPr>
          <w:ilvl w:val="0"/>
          <w:numId w:val="2"/>
        </w:numPr>
        <w:spacing w:after="0" w:line="25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Wnioskodawca posiada doświadczenie w realizacji wniosków w ramach PROW ze środków LGD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Wnioskodawca zrealizował dwa lub więcej projektów – 5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Wnioskodawca zrealizował jeden projekt – 3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Wnioskodawca nie zrealizował żadnego projektu – 0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pStyle w:val="Akapitzlist"/>
        <w:numPr>
          <w:ilvl w:val="0"/>
          <w:numId w:val="2"/>
        </w:numPr>
        <w:spacing w:after="0" w:line="25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Czas realizacji operacji/projektu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mniej niż 15 miesięcy – 5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od 15 miesięcy do 18 miesięcy 3 </w:t>
      </w:r>
      <w:proofErr w:type="spellStart"/>
      <w:r>
        <w:t>pkt</w:t>
      </w:r>
      <w:proofErr w:type="spellEnd"/>
      <w:r>
        <w:t xml:space="preserve">; 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powyżej 18 miesięcy 1 pkt.</w:t>
      </w:r>
    </w:p>
    <w:p w:rsidR="004333A2" w:rsidRDefault="004333A2" w:rsidP="004333A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Wykorzystanie lokalnych zasobów 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opis wykorzystania 3 lokalnych zasobów - 5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opis wykorzystania 2 lokalnych zasobów – 3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opis wykorzystania 1 lokalnego zasobu – 1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brak opisu wykorzystania lokalnych zasobów - 0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Promocja LGD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We wniosku o przyznanie pomocy zaplanowano i opisano działania informujące o przyznaniu wsparcia przez LGD w ramach LSR – 3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We wniosku o przyznanie pomocy nie zaplanowano lub nie opisano działań informujących o przyznaniu wsparcia przez LGD w ramach LSR – 0 pkt.</w:t>
      </w:r>
    </w:p>
    <w:p w:rsidR="004333A2" w:rsidRDefault="004333A2" w:rsidP="004333A2">
      <w:pPr>
        <w:pStyle w:val="Akapitzlist"/>
        <w:numPr>
          <w:ilvl w:val="0"/>
          <w:numId w:val="4"/>
        </w:numPr>
        <w:spacing w:after="0" w:line="256" w:lineRule="auto"/>
        <w:ind w:left="714" w:hanging="357"/>
        <w:rPr>
          <w:rFonts w:ascii="Times New Roman" w:eastAsia="Calibri" w:hAnsi="Times New Roman"/>
        </w:rPr>
      </w:pPr>
      <w:r>
        <w:rPr>
          <w:rFonts w:ascii="Times New Roman" w:hAnsi="Times New Roman"/>
        </w:rPr>
        <w:t>Wkład własny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wkład własny wnioskodawcy przekracza intensywność pomocy określoną w LSR o więcej niż 10% - 5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wkład własny wnioskodawcy przekracza intensywność pomocy określoną w LSR o więcej niż 5% i nie więcej niż 10% - 3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wkład własny wnioskodawcy przekracza intensywność pomocy określoną w LSR o nie więcej niż 5% - 1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wkład własny wnioskodawcy jest równy intensywność pomocy określonej w LSR – 0 pkt.</w:t>
      </w:r>
    </w:p>
    <w:p w:rsidR="004333A2" w:rsidRDefault="004333A2" w:rsidP="004333A2">
      <w:pPr>
        <w:pStyle w:val="Akapitzlist"/>
        <w:numPr>
          <w:ilvl w:val="0"/>
          <w:numId w:val="4"/>
        </w:numPr>
        <w:spacing w:after="0" w:line="25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Wpływ operacji na ochronę środowiska i/lub przeciwdziałanie zmianom klimatu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w budżecie operacji zaplanowano więcej niż 20% kosztów całkowitych na działania mające wpływ na ochronę środowiska i/lub przeciwdziałające zmianom klimatu – 6 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lastRenderedPageBreak/>
        <w:t xml:space="preserve">w budżecie operacji zaplanowano więcej niż 10% i nie więcej niż 20% kosztów całkowitych na działania mające wpływ na ochronę środowiska i/lub przeciwdziałające zmianom klimatu – 4 </w:t>
      </w:r>
      <w:proofErr w:type="spellStart"/>
      <w:r>
        <w:t>pkt</w:t>
      </w:r>
      <w:proofErr w:type="spellEnd"/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 budżecie operacji zaplanowano nie więcej niż 10% kosztów całkowitych na działania mające wpływ na ochronę środowiska i/lub przeciwdziałające zmianom klimatu – 2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w budżecie nie zaplanowano kosztów na działania mające wpływ na ochronę środowiska i/lub przeciwdziałające zmianom klimatu – 0 pkt.</w:t>
      </w:r>
    </w:p>
    <w:p w:rsidR="004333A2" w:rsidRDefault="004333A2" w:rsidP="004333A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Konsultacja wniosku  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>Wnioskodawca przed złożeniem wniosku poddał go konsultacjom z doradcą LGD – 4 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Wnioskodawca przed złożeniem wniosku nie poddał go konsultacjom z doradcą LGD – 0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Miejsce realizacji operacji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Operacja realizowana będzie w miejscowości zamieszkałej przez mniej niż 5 tys. mieszkańców -1 </w:t>
      </w:r>
      <w:proofErr w:type="spellStart"/>
      <w:r>
        <w:t>pkt</w:t>
      </w:r>
      <w:proofErr w:type="spellEnd"/>
      <w:r>
        <w:t>;</w:t>
      </w:r>
    </w:p>
    <w:p w:rsidR="004333A2" w:rsidRDefault="004333A2" w:rsidP="004333A2">
      <w:pPr>
        <w:numPr>
          <w:ilvl w:val="0"/>
          <w:numId w:val="3"/>
        </w:numPr>
        <w:ind w:left="1122" w:hanging="357"/>
        <w:jc w:val="both"/>
      </w:pPr>
      <w:r>
        <w:t xml:space="preserve">0 </w:t>
      </w:r>
      <w:proofErr w:type="spellStart"/>
      <w:r>
        <w:t>pkt</w:t>
      </w:r>
      <w:proofErr w:type="spellEnd"/>
      <w:r>
        <w:t xml:space="preserve"> - operacja realizowana będzie w miejscowości zamieszkałej przez 5 tys. lub więcej mieszkańców – 0 pkt.</w:t>
      </w:r>
    </w:p>
    <w:p w:rsidR="0056360D" w:rsidRDefault="0056360D"/>
    <w:sectPr w:rsidR="0056360D" w:rsidSect="005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7C0D"/>
    <w:multiLevelType w:val="hybridMultilevel"/>
    <w:tmpl w:val="BBBA8438"/>
    <w:lvl w:ilvl="0" w:tplc="DE3659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13501"/>
    <w:multiLevelType w:val="hybridMultilevel"/>
    <w:tmpl w:val="D1D21F52"/>
    <w:lvl w:ilvl="0" w:tplc="4C12AF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C73B9"/>
    <w:multiLevelType w:val="hybridMultilevel"/>
    <w:tmpl w:val="FEA4742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E457C"/>
    <w:multiLevelType w:val="hybridMultilevel"/>
    <w:tmpl w:val="E2C65698"/>
    <w:lvl w:ilvl="0" w:tplc="E7D8EE1A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230C1"/>
    <w:multiLevelType w:val="hybridMultilevel"/>
    <w:tmpl w:val="39F826AA"/>
    <w:lvl w:ilvl="0" w:tplc="843092D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333A2"/>
    <w:rsid w:val="00010061"/>
    <w:rsid w:val="00045EB4"/>
    <w:rsid w:val="00054C4F"/>
    <w:rsid w:val="00187E28"/>
    <w:rsid w:val="002113A3"/>
    <w:rsid w:val="004333A2"/>
    <w:rsid w:val="0056360D"/>
    <w:rsid w:val="005A1E05"/>
    <w:rsid w:val="0072789B"/>
    <w:rsid w:val="007A47EF"/>
    <w:rsid w:val="009C73F9"/>
    <w:rsid w:val="00B445C8"/>
    <w:rsid w:val="00CB0A3C"/>
    <w:rsid w:val="00EE27C1"/>
    <w:rsid w:val="00F06EA4"/>
    <w:rsid w:val="00FB1840"/>
    <w:rsid w:val="00FC2D83"/>
    <w:rsid w:val="00FE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A2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3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2016-12-08T12:29:00Z</dcterms:created>
  <dcterms:modified xsi:type="dcterms:W3CDTF">2016-12-08T12:29:00Z</dcterms:modified>
</cp:coreProperties>
</file>